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E" w:rsidRPr="008F43FD" w:rsidRDefault="006810DE" w:rsidP="006810DE">
      <w:pPr>
        <w:spacing w:after="0" w:line="240" w:lineRule="auto"/>
        <w:rPr>
          <w:rFonts w:ascii="Arial" w:eastAsia="Times New Roman" w:hAnsi="Arial" w:cs="Arial"/>
          <w:b/>
          <w:lang w:val="hr-HR" w:eastAsia="bs-Latn-BA"/>
        </w:rPr>
      </w:pPr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 xml:space="preserve">ANEKS </w:t>
      </w: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>IXa</w:t>
      </w:r>
      <w:proofErr w:type="spellEnd"/>
    </w:p>
    <w:p w:rsidR="006810DE" w:rsidRPr="008F43FD" w:rsidRDefault="006810DE" w:rsidP="006810DE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>UKP</w:t>
      </w:r>
      <w:proofErr w:type="spellEnd"/>
      <w:r w:rsidRPr="008F43FD">
        <w:rPr>
          <w:rFonts w:ascii="Arial" w:eastAsia="Times New Roman" w:hAnsi="Arial" w:cs="Arial"/>
          <w:b/>
          <w:sz w:val="28"/>
          <w:szCs w:val="28"/>
          <w:lang w:val="hr-HR" w:eastAsia="hr-HR"/>
        </w:rPr>
        <w:t>-KB</w:t>
      </w:r>
    </w:p>
    <w:p w:rsidR="006810DE" w:rsidRPr="008F43FD" w:rsidRDefault="006810DE" w:rsidP="006810DE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UGOVOR</w:t>
      </w:r>
      <w:r w:rsidRPr="008F43FD">
        <w:rPr>
          <w:rFonts w:ascii="Arial" w:eastAsia="SimSun" w:hAnsi="Arial" w:cs="Arial"/>
          <w:sz w:val="24"/>
          <w:szCs w:val="24"/>
          <w:lang w:val="hr-HR" w:eastAsia="zh-CN"/>
        </w:rPr>
        <w:t xml:space="preserve"> </w:t>
      </w: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O KORIŠTENJU SREDSTAVA NOVČANE PODRŠKE</w:t>
      </w:r>
    </w:p>
    <w:p w:rsidR="006810DE" w:rsidRPr="008F43FD" w:rsidRDefault="006810DE" w:rsidP="006810D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hr-HR" w:eastAsia="hr-HR"/>
        </w:rPr>
      </w:pPr>
    </w:p>
    <w:p w:rsidR="006810DE" w:rsidRPr="008F43FD" w:rsidRDefault="006810DE" w:rsidP="006810DE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 xml:space="preserve">Federalno ministarstvo poljoprivrede, vodoprivrede i šumarstva 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(u </w:t>
      </w:r>
      <w:r w:rsidRPr="008F43FD">
        <w:rPr>
          <w:rFonts w:ascii="Arial" w:eastAsia="Times New Roman" w:hAnsi="Arial" w:cs="Arial"/>
          <w:sz w:val="24"/>
          <w:szCs w:val="24"/>
          <w:lang w:val="hr-HR" w:eastAsia="bs-Latn-BA"/>
        </w:rPr>
        <w:t>daljem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 tekstu: Federalno ministarstvo)</w:t>
      </w: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 xml:space="preserve"> </w:t>
      </w:r>
      <w:r w:rsidRPr="008F43FD">
        <w:rPr>
          <w:rFonts w:ascii="Arial" w:eastAsia="SimSun" w:hAnsi="Arial" w:cs="Arial"/>
          <w:sz w:val="24"/>
          <w:szCs w:val="24"/>
          <w:lang w:val="hr-HR" w:eastAsia="zh-CN"/>
        </w:rPr>
        <w:t>koje zastupa ministar ____________________________</w:t>
      </w:r>
    </w:p>
    <w:p w:rsidR="006810DE" w:rsidRPr="008F43FD" w:rsidRDefault="006810DE" w:rsidP="006810DE">
      <w:pPr>
        <w:spacing w:before="102" w:after="0" w:line="240" w:lineRule="auto"/>
        <w:jc w:val="both"/>
        <w:rPr>
          <w:rFonts w:ascii="Arial" w:eastAsia="SimSun" w:hAnsi="Arial" w:cs="Arial"/>
          <w:sz w:val="16"/>
          <w:szCs w:val="16"/>
          <w:lang w:val="hr-HR" w:eastAsia="zh-CN"/>
        </w:rPr>
      </w:pPr>
    </w:p>
    <w:tbl>
      <w:tblPr>
        <w:tblW w:w="94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2576"/>
        <w:gridCol w:w="19"/>
        <w:gridCol w:w="458"/>
        <w:gridCol w:w="19"/>
        <w:gridCol w:w="87"/>
        <w:gridCol w:w="125"/>
        <w:gridCol w:w="249"/>
        <w:gridCol w:w="17"/>
        <w:gridCol w:w="174"/>
        <w:gridCol w:w="251"/>
        <w:gridCol w:w="38"/>
        <w:gridCol w:w="15"/>
        <w:gridCol w:w="261"/>
        <w:gridCol w:w="204"/>
        <w:gridCol w:w="13"/>
        <w:gridCol w:w="160"/>
        <w:gridCol w:w="188"/>
        <w:gridCol w:w="118"/>
        <w:gridCol w:w="13"/>
        <w:gridCol w:w="372"/>
        <w:gridCol w:w="62"/>
        <w:gridCol w:w="33"/>
        <w:gridCol w:w="11"/>
        <w:gridCol w:w="216"/>
        <w:gridCol w:w="253"/>
        <w:gridCol w:w="9"/>
        <w:gridCol w:w="44"/>
        <w:gridCol w:w="62"/>
        <w:gridCol w:w="365"/>
        <w:gridCol w:w="7"/>
        <w:gridCol w:w="131"/>
        <w:gridCol w:w="188"/>
        <w:gridCol w:w="153"/>
        <w:gridCol w:w="7"/>
        <w:gridCol w:w="217"/>
        <w:gridCol w:w="261"/>
        <w:gridCol w:w="53"/>
        <w:gridCol w:w="251"/>
        <w:gridCol w:w="176"/>
        <w:gridCol w:w="264"/>
        <w:gridCol w:w="125"/>
        <w:gridCol w:w="91"/>
        <w:gridCol w:w="480"/>
      </w:tblGrid>
      <w:tr w:rsidR="006810DE" w:rsidRPr="008F43FD" w:rsidTr="00A03CD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881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PODACI O KLIJENTU</w:t>
            </w:r>
          </w:p>
        </w:tc>
      </w:tr>
      <w:tr w:rsidR="006810DE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Naziv obrta/ 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preduzeća</w:t>
            </w:r>
            <w:proofErr w:type="spellEnd"/>
          </w:p>
        </w:tc>
        <w:tc>
          <w:tcPr>
            <w:tcW w:w="6221" w:type="dxa"/>
            <w:gridSpan w:val="4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Jedinstveni 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bookmarkStart w:id="0" w:name="_GoBack"/>
            <w:bookmarkEnd w:id="0"/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poljoprivrednog gazdinstva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Jedinstveni matični broj (JMB) vlasnika obrta/ovlaštenog lica</w:t>
            </w:r>
          </w:p>
        </w:tc>
        <w:tc>
          <w:tcPr>
            <w:tcW w:w="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Klijent</w:t>
            </w:r>
          </w:p>
        </w:tc>
        <w:tc>
          <w:tcPr>
            <w:tcW w:w="31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6810DE" w:rsidRPr="008F43FD" w:rsidRDefault="006810DE" w:rsidP="006810D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Obveznik PDV-a</w:t>
            </w:r>
          </w:p>
          <w:p w:rsidR="006810DE" w:rsidRPr="008F43FD" w:rsidRDefault="006810DE" w:rsidP="006810D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Nije obveznik PDV-a</w:t>
            </w:r>
          </w:p>
        </w:tc>
        <w:tc>
          <w:tcPr>
            <w:tcW w:w="3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  <w:hideMark/>
          </w:tcPr>
          <w:p w:rsidR="006810DE" w:rsidRPr="008F43FD" w:rsidRDefault="006810D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(zaokružiti slovo ili podvući tekst opcije)</w:t>
            </w:r>
          </w:p>
        </w:tc>
      </w:tr>
    </w:tbl>
    <w:p w:rsidR="006810DE" w:rsidRPr="008F43FD" w:rsidRDefault="006810DE" w:rsidP="006810DE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sz w:val="24"/>
          <w:szCs w:val="24"/>
          <w:lang w:val="hr-HR" w:eastAsia="zh-CN"/>
        </w:rPr>
        <w:t xml:space="preserve"> (u </w:t>
      </w:r>
      <w:r w:rsidRPr="008F43FD">
        <w:rPr>
          <w:rFonts w:ascii="Arial" w:eastAsia="Times New Roman" w:hAnsi="Arial" w:cs="Arial"/>
          <w:sz w:val="24"/>
          <w:szCs w:val="24"/>
          <w:lang w:val="hr-HR" w:eastAsia="bs-Latn-BA"/>
        </w:rPr>
        <w:t>daljem</w:t>
      </w:r>
      <w:r w:rsidRPr="008F43FD">
        <w:rPr>
          <w:rFonts w:ascii="Arial" w:eastAsia="SimSun" w:hAnsi="Arial" w:cs="Arial"/>
          <w:sz w:val="24"/>
          <w:szCs w:val="24"/>
          <w:lang w:val="hr-HR" w:eastAsia="zh-CN"/>
        </w:rPr>
        <w:t xml:space="preserve"> tekstu: klijent)</w:t>
      </w:r>
    </w:p>
    <w:p w:rsidR="006810DE" w:rsidRPr="008F43FD" w:rsidRDefault="006810DE" w:rsidP="006810DE">
      <w:pPr>
        <w:spacing w:before="102"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 xml:space="preserve">zaključuju </w:t>
      </w:r>
    </w:p>
    <w:p w:rsidR="006810DE" w:rsidRPr="008F43FD" w:rsidRDefault="006810DE" w:rsidP="006810DE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UGOVOR</w:t>
      </w:r>
    </w:p>
    <w:p w:rsidR="006810DE" w:rsidRPr="008F43FD" w:rsidRDefault="006810DE" w:rsidP="006810DE">
      <w:pPr>
        <w:spacing w:line="256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o korištenju sredstava novčane podrške za ulaganje putem kreditne linije izabrane komercijalne banke</w:t>
      </w:r>
    </w:p>
    <w:p w:rsidR="006810DE" w:rsidRPr="008F43FD" w:rsidRDefault="006810DE" w:rsidP="006810DE">
      <w:pPr>
        <w:spacing w:after="0" w:line="257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(Predmet ugovora)</w:t>
      </w:r>
    </w:p>
    <w:p w:rsidR="006810DE" w:rsidRPr="008F43FD" w:rsidRDefault="006810DE" w:rsidP="006810DE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Ovim Ugovorom uređuju se međusobna prava i obaveze između Federalnog ministarstva i klijenta u toku i nakon realizacije ulaganja.</w:t>
      </w:r>
    </w:p>
    <w:p w:rsidR="006810DE" w:rsidRPr="008F43FD" w:rsidRDefault="006810DE" w:rsidP="006810DE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(Podaci o ulaganju)</w:t>
      </w:r>
    </w:p>
    <w:p w:rsidR="006810DE" w:rsidRPr="008F43FD" w:rsidRDefault="006810DE" w:rsidP="006810DE">
      <w:pPr>
        <w:spacing w:line="256" w:lineRule="auto"/>
        <w:jc w:val="both"/>
        <w:rPr>
          <w:rFonts w:ascii="Arial" w:eastAsia="Calibri" w:hAnsi="Arial" w:cs="Arial"/>
          <w:i/>
          <w:sz w:val="24"/>
          <w:szCs w:val="24"/>
          <w:lang w:val="hr-HR"/>
        </w:rPr>
      </w:pPr>
      <w:r w:rsidRPr="008F43FD">
        <w:rPr>
          <w:rFonts w:ascii="Arial" w:eastAsia="Calibri" w:hAnsi="Arial" w:cs="Arial"/>
          <w:sz w:val="24"/>
          <w:szCs w:val="24"/>
          <w:lang w:val="hr-HR"/>
        </w:rPr>
        <w:t xml:space="preserve">Klijent se obavezuje izvršiti ulaganje predviđeno poslovnim planom (u </w:t>
      </w:r>
      <w:r w:rsidRPr="008F43FD">
        <w:rPr>
          <w:rFonts w:ascii="Arial" w:eastAsia="Times New Roman" w:hAnsi="Arial" w:cs="Arial"/>
          <w:sz w:val="24"/>
          <w:szCs w:val="24"/>
          <w:lang w:val="hr-HR" w:eastAsia="bs-Latn-BA"/>
        </w:rPr>
        <w:t>daljem</w:t>
      </w:r>
      <w:r w:rsidRPr="008F43FD">
        <w:rPr>
          <w:rFonts w:ascii="Arial" w:eastAsia="Calibri" w:hAnsi="Arial" w:cs="Arial"/>
          <w:sz w:val="24"/>
          <w:szCs w:val="24"/>
          <w:lang w:val="hr-HR"/>
        </w:rPr>
        <w:t xml:space="preserve"> tekstu: ulaganje) za koje je </w:t>
      </w:r>
      <w:r w:rsidRPr="008F43FD">
        <w:rPr>
          <w:rFonts w:ascii="Arial" w:eastAsia="Times New Roman" w:hAnsi="Arial" w:cs="Arial"/>
          <w:sz w:val="24"/>
          <w:szCs w:val="24"/>
          <w:lang w:val="hr-HR"/>
        </w:rPr>
        <w:t>komercijalna banka</w:t>
      </w:r>
      <w:r w:rsidRPr="008F43FD">
        <w:rPr>
          <w:rFonts w:ascii="Arial" w:eastAsia="Times New Roman" w:hAnsi="Arial" w:cs="Arial"/>
          <w:color w:val="FF0000"/>
          <w:sz w:val="24"/>
          <w:szCs w:val="24"/>
          <w:lang w:val="hr-HR"/>
        </w:rPr>
        <w:t xml:space="preserve"> </w:t>
      </w:r>
      <w:r w:rsidRPr="008F43FD">
        <w:rPr>
          <w:rFonts w:ascii="Arial" w:eastAsia="Calibri" w:hAnsi="Arial" w:cs="Arial"/>
          <w:sz w:val="24"/>
          <w:szCs w:val="24"/>
          <w:lang w:val="hr-HR"/>
        </w:rPr>
        <w:t>donijela odluku kreditnog odbora o odobravanju kredita.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0"/>
        <w:gridCol w:w="4987"/>
        <w:gridCol w:w="3136"/>
      </w:tblGrid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Vrsta ulaganja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 xml:space="preserve"> 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(zaokružiti broj ispred vrste ulaganja)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Nabava rasplodne stoke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Izgradnja ili proširenje i opremanje građevinskih objekata u funkciji biljne proizvodnje, stočarstva ili ribarstva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Podizanje višegodišnjih nasada</w:t>
            </w:r>
          </w:p>
        </w:tc>
      </w:tr>
      <w:tr w:rsidR="006810DE" w:rsidRPr="008F43FD" w:rsidTr="00A03CD7">
        <w:trPr>
          <w:trHeight w:val="89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Naziv projekta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(prepisati naziv iz poslovnog plana)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rPr>
          <w:trHeight w:val="18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2.3.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Iznos ulaganja 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2.3.1.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Ukupan iznos ulaganja u KM sa PDV-om 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–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koji nije obveznik PDV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2.3.2.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Ukupan iznos ulaganja u KM bez PDV-a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–</w:t>
            </w: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 xml:space="preserve"> 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obveznik PDV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(prepisati iznos ulaganja iz poslovnog plana)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2.4.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Očekivani iznos novčane podrške</w:t>
            </w: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2.4.1.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Iznos podrške u KM sa PDV – 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koji nije obveznik PDV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(iznos podrške iz reda 2.3.1. pomnožiti sa </w:t>
            </w:r>
            <w:proofErr w:type="spellStart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koef</w:t>
            </w:r>
            <w:proofErr w:type="spellEnd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. 0,30)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2.4.2.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Iznos podrške u KM bez PDV – 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popunjava klijent obveznik PDV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(iznos podrške iz reda 2.3.2. pomnožiti sa </w:t>
            </w:r>
            <w:proofErr w:type="spellStart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koef</w:t>
            </w:r>
            <w:proofErr w:type="spellEnd"/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. 0,30)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2.5.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Početak i završetak ulaganja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2.5.1.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Očekivani početak ulaganja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810DE" w:rsidRPr="008F43FD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4"/>
                <w:szCs w:val="24"/>
                <w:lang w:val="hr-HR" w:eastAsia="hr-HR"/>
              </w:rPr>
              <w:t>2.5.2.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Očekivani završetak ulaganja</w:t>
            </w:r>
          </w:p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(dan, mjesec i godina)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DE" w:rsidRPr="008F43FD" w:rsidRDefault="006810D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</w:tbl>
    <w:p w:rsidR="006810DE" w:rsidRPr="008F43FD" w:rsidRDefault="006810DE" w:rsidP="006810D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hr-HR" w:eastAsia="hr-HR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(Prihvatljivost troškova ulaganja)</w:t>
      </w:r>
    </w:p>
    <w:p w:rsidR="006810DE" w:rsidRPr="008F43FD" w:rsidRDefault="006810DE" w:rsidP="006810DE">
      <w:pPr>
        <w:numPr>
          <w:ilvl w:val="0"/>
          <w:numId w:val="1"/>
        </w:numPr>
        <w:spacing w:after="0" w:line="240" w:lineRule="auto"/>
        <w:ind w:left="432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Ulaganja moraju biti u skladu sa Listom prihvatljivih troškova iz važećeg Pravilnika o </w:t>
      </w:r>
      <w:proofErr w:type="spellStart"/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uslovima</w:t>
      </w:r>
      <w:proofErr w:type="spellEnd"/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 i načinu ostvarivanja novčanih podrški po modelu ruralnog razvoja (u </w:t>
      </w:r>
      <w:r w:rsidRPr="008F43FD">
        <w:rPr>
          <w:rFonts w:ascii="Arial" w:eastAsia="Times New Roman" w:hAnsi="Arial" w:cs="Arial"/>
          <w:sz w:val="24"/>
          <w:szCs w:val="24"/>
          <w:lang w:val="hr-HR" w:eastAsia="bs-Latn-BA"/>
        </w:rPr>
        <w:t>daljem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 tekstu: Pravilnik).</w:t>
      </w:r>
    </w:p>
    <w:p w:rsidR="006810DE" w:rsidRPr="008F43FD" w:rsidRDefault="006810DE" w:rsidP="006810DE">
      <w:pPr>
        <w:numPr>
          <w:ilvl w:val="0"/>
          <w:numId w:val="1"/>
        </w:numPr>
        <w:spacing w:after="200" w:line="256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Ulaganja su prihvatljiva od datuma potpisivanja ugovora o kreditu sa komercijalnom bankom do roka očekivanog završetka ulaganja iz člana 2. ovo</w:t>
      </w:r>
      <w:r>
        <w:rPr>
          <w:rFonts w:ascii="Arial" w:eastAsia="SimSun" w:hAnsi="Arial" w:cs="Arial"/>
          <w:bCs/>
          <w:sz w:val="24"/>
          <w:szCs w:val="24"/>
          <w:lang w:val="hr-HR" w:eastAsia="zh-CN"/>
        </w:rPr>
        <w:t>g Ugovora, a najkasnije do 31.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12. naredne godine.</w:t>
      </w:r>
    </w:p>
    <w:p w:rsidR="006810DE" w:rsidRPr="008F43FD" w:rsidRDefault="006810DE" w:rsidP="006810DE">
      <w:pPr>
        <w:spacing w:line="256" w:lineRule="auto"/>
        <w:ind w:left="426"/>
        <w:contextualSpacing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(Obaveze klijenta)</w:t>
      </w:r>
    </w:p>
    <w:p w:rsidR="006810DE" w:rsidRPr="008F43FD" w:rsidRDefault="006810DE" w:rsidP="006810D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Klijent se obavezuje: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davati </w:t>
      </w:r>
      <w:proofErr w:type="spellStart"/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>tačne</w:t>
      </w:r>
      <w:proofErr w:type="spellEnd"/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potpune informacije o ulaganju, a posebno voditi računa da cijene na fakturi budu u skladu sa postojećim tržišnim cijenama,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dopustiti službenicima 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Federalnog ministarstva</w:t>
      </w: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nadležnim inspekcijama nesmetan pristup i kontrolu ulaganja na terenu u svakom trenutku, od momenta potpisivanja ovog Ugovora, do dana otplate kredita,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dati na uvid cjelokupnu dokumentaciju vezanu za ulaganje službenicima 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Federalnog ministarstva</w:t>
      </w: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nadležnim inspekcijama koje obavljaju kontrolu na terenu, odnosno vrše inspekcijski nadzor,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>čuvati dokumentaciju, koja se odnosi na ulaganje do dana otplate kredita,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10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otvoriti račun kod izabrane komercijalne banke i prijaviti ga u </w:t>
      </w:r>
      <w:proofErr w:type="spellStart"/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>RK</w:t>
      </w:r>
      <w:proofErr w:type="spellEnd"/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kao svoj glavni račun,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>potpisati ugovor sa izabranom komercijalnom bankom o deponiranju sredstava novčane podrške u svrhu osiguranja otplate dodijeljenog kredita,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za</w:t>
      </w: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>držati u svom vlasništvu predmete ulaganja do dana otplate kredita,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lastRenderedPageBreak/>
        <w:t>namjenski koristiti predmete ulaganja do dana otplate kredita,</w:t>
      </w:r>
    </w:p>
    <w:p w:rsidR="006810DE" w:rsidRPr="008F43FD" w:rsidRDefault="006810DE" w:rsidP="006810DE">
      <w:pPr>
        <w:numPr>
          <w:ilvl w:val="1"/>
          <w:numId w:val="4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bez odlaganja obavijestiti 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</w:t>
      </w:r>
      <w:r w:rsidRPr="008F43FD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 nepredviđenim okolnostima nastalim tokom provođenja ulaganja.</w:t>
      </w:r>
    </w:p>
    <w:p w:rsidR="006810DE" w:rsidRPr="008F43FD" w:rsidRDefault="006810DE" w:rsidP="006810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Ako klijent prekrši bilo koju obavezu iz stava (1) ovog Ugovora, gubi pravo na ostvarivanje podrške.</w:t>
      </w:r>
    </w:p>
    <w:p w:rsidR="006810DE" w:rsidRPr="008F43FD" w:rsidRDefault="006810DE" w:rsidP="006810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donosi rješenje o povratu sredstava podrške ukoliko klijent prekrši odredbe stava (1) ovog člana.</w:t>
      </w:r>
    </w:p>
    <w:p w:rsidR="006810DE" w:rsidRPr="008F43FD" w:rsidRDefault="006810DE" w:rsidP="006810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Klijent se obavezuje vratiti razliku sredstava na depozitni račun kod izabrane komercijalne banke ukoliko je iznos sredstava odobren ovim Ugovorom veći od iznosa sredstava koji mu je dodijeljen rješenjem o odobravanju sredstava iz člana 5. ovog Ugovora.</w:t>
      </w:r>
    </w:p>
    <w:p w:rsidR="006810DE" w:rsidRPr="008F43FD" w:rsidRDefault="006810DE" w:rsidP="006810DE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U slučaju kada klijent zbog postojanja više sile nije bio u mogućnosti ispuniti obavezu iz stava (1) ovog člana, ugovorne strane se mogu dogovoriti o potpisivanju Aneksa ugovora kojim će se dati dodatni vremenski rok za ispunjavanje obaveze. </w:t>
      </w:r>
    </w:p>
    <w:p w:rsidR="006810DE" w:rsidRPr="008F43FD" w:rsidRDefault="006810DE" w:rsidP="006810DE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(Obaveze Federalnog ministarstva)</w:t>
      </w:r>
    </w:p>
    <w:p w:rsidR="006810DE" w:rsidRPr="008F43FD" w:rsidRDefault="006810DE" w:rsidP="006810DE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 xml:space="preserve">Federalno ministarstvo se obavezuje osigurati isplatu podrške, putem sredstava deponiranih na transakcijskom računu izabrane komercijalne banke, u vrijednosti do 30% iznosa prihvatljivih troškova ulaganja za vrste ulaganja pod rednim brojevima 1.- 3., iz tablice PODACI O ULAGANJU iz člana 2. ovog Ugovora. </w:t>
      </w:r>
    </w:p>
    <w:p w:rsidR="006810DE" w:rsidRPr="008F43FD" w:rsidRDefault="006810DE" w:rsidP="006810DE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potpisuje Ugovor i dostavlja ga klijentu i izabranoj komercijalnoj banci, koja nakon toga aktivira odluku o odobravanju kreditnog zahtjeva doznakom kreditnih sredstava i predviđenog iznosa podrške iz ovog Ugovora na transakcijski račun klijenta.</w:t>
      </w:r>
    </w:p>
    <w:p w:rsidR="006810DE" w:rsidRPr="008F43FD" w:rsidRDefault="006810DE" w:rsidP="006810DE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u toku ulaganja prati realizaciju ulaganja provođenjem administrativne kontrole.</w:t>
      </w:r>
    </w:p>
    <w:p w:rsidR="006810DE" w:rsidRPr="008F43FD" w:rsidRDefault="006810DE" w:rsidP="006810DE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nakon završetka ulaganja na osnovu podataka o izvršenom ulaganju dostavljenih od strane klijenta i izabrane komercijalne banke i Liste prihvatljivih troškova iz Pravilnika, vrši obračun iznosa novčane podrške i donosi rješenje o odobravanja sredstava novčane podrške, u skladu sa ovim Ugovorom.</w:t>
      </w:r>
    </w:p>
    <w:p w:rsidR="006810DE" w:rsidRPr="008F43FD" w:rsidRDefault="006810DE" w:rsidP="006810DE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 ministarstvo dostavlja rješenje iz stava (4) ovog člana klijentu i izabranoj komercijalnoj banci.</w:t>
      </w:r>
    </w:p>
    <w:p w:rsidR="006810DE" w:rsidRPr="008F43FD" w:rsidRDefault="006810DE" w:rsidP="006810DE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F43FD">
        <w:rPr>
          <w:rFonts w:ascii="Arial" w:eastAsia="Calibri" w:hAnsi="Arial" w:cs="Arial"/>
          <w:b/>
          <w:sz w:val="24"/>
          <w:szCs w:val="24"/>
          <w:lang w:val="hr-HR"/>
        </w:rPr>
        <w:t>(Trajanje ugovora)</w:t>
      </w:r>
    </w:p>
    <w:p w:rsidR="006810DE" w:rsidRPr="006A00D2" w:rsidRDefault="006810DE" w:rsidP="006810DE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8F43FD">
        <w:rPr>
          <w:rFonts w:ascii="Arial" w:eastAsia="Calibri" w:hAnsi="Arial" w:cs="Arial"/>
          <w:sz w:val="24"/>
          <w:szCs w:val="24"/>
          <w:lang w:val="hr-HR"/>
        </w:rPr>
        <w:t>Ovaj ugovor stupa na snagu danom potpisivanja a važi do dana otplate kredita.</w:t>
      </w:r>
    </w:p>
    <w:p w:rsidR="006810DE" w:rsidRPr="006A00D2" w:rsidRDefault="006810DE" w:rsidP="006810DE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6810DE" w:rsidRPr="008F43FD" w:rsidRDefault="006810DE" w:rsidP="006810DE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6810DE" w:rsidRPr="008F43FD" w:rsidRDefault="006810DE" w:rsidP="006810DE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F43FD">
        <w:rPr>
          <w:rFonts w:ascii="Arial" w:eastAsia="Calibri" w:hAnsi="Arial" w:cs="Arial"/>
          <w:b/>
          <w:sz w:val="24"/>
          <w:szCs w:val="24"/>
          <w:lang w:val="hr-HR"/>
        </w:rPr>
        <w:t>(Nadležnost za rješavanje sporova)</w:t>
      </w:r>
    </w:p>
    <w:p w:rsidR="006810DE" w:rsidRPr="008F43FD" w:rsidRDefault="006810DE" w:rsidP="006810D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  <w:r w:rsidRPr="008F43FD">
        <w:rPr>
          <w:rFonts w:ascii="Arial" w:eastAsia="Times New Roman" w:hAnsi="Arial" w:cs="Arial"/>
          <w:sz w:val="24"/>
          <w:szCs w:val="20"/>
          <w:lang w:val="hr-HR"/>
        </w:rPr>
        <w:t xml:space="preserve">Ugovorne strane </w:t>
      </w:r>
      <w:proofErr w:type="spellStart"/>
      <w:r w:rsidRPr="008F43FD">
        <w:rPr>
          <w:rFonts w:ascii="Arial" w:eastAsia="Times New Roman" w:hAnsi="Arial" w:cs="Arial"/>
          <w:sz w:val="24"/>
          <w:szCs w:val="20"/>
          <w:lang w:val="hr-HR"/>
        </w:rPr>
        <w:t>saglasne</w:t>
      </w:r>
      <w:proofErr w:type="spellEnd"/>
      <w:r w:rsidRPr="008F43FD">
        <w:rPr>
          <w:rFonts w:ascii="Arial" w:eastAsia="Times New Roman" w:hAnsi="Arial" w:cs="Arial"/>
          <w:sz w:val="24"/>
          <w:szCs w:val="20"/>
          <w:lang w:val="hr-HR"/>
        </w:rPr>
        <w:t xml:space="preserve"> su da će sve sporove koji proizlaze iz ovog Ugovora rješavati sporazumno, a ukoliko to ne bude moguće, ugovaraju nadležnost mjesno i stvarno nadležnog  suda u Sarajevu.</w:t>
      </w:r>
    </w:p>
    <w:p w:rsidR="006810DE" w:rsidRPr="008F43FD" w:rsidRDefault="006810DE" w:rsidP="006810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6810DE" w:rsidRPr="008F43FD" w:rsidRDefault="006810DE" w:rsidP="006810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</w:p>
    <w:p w:rsidR="006810DE" w:rsidRPr="008F43FD" w:rsidRDefault="006810DE" w:rsidP="006810DE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hr-HR"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val="hr-HR" w:eastAsia="zh-CN"/>
        </w:rPr>
        <w:t>(Završne odredbe)</w:t>
      </w:r>
    </w:p>
    <w:p w:rsidR="006810DE" w:rsidRPr="008F43FD" w:rsidRDefault="006810DE" w:rsidP="006810DE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  <w:r w:rsidRPr="008F43FD">
        <w:rPr>
          <w:rFonts w:ascii="Arial" w:eastAsia="Times New Roman" w:hAnsi="Arial" w:cs="Arial"/>
          <w:sz w:val="24"/>
          <w:szCs w:val="20"/>
          <w:lang w:val="hr-HR"/>
        </w:rPr>
        <w:lastRenderedPageBreak/>
        <w:t xml:space="preserve">Ovaj Ugovor sastavljen je u pet istovjetnih primjeraka od kojih dva primjerka pripadaju klijentu, dva primjerka </w:t>
      </w:r>
      <w:r w:rsidRPr="008F43FD">
        <w:rPr>
          <w:rFonts w:ascii="Arial" w:eastAsia="SimSun" w:hAnsi="Arial" w:cs="Arial"/>
          <w:bCs/>
          <w:sz w:val="24"/>
          <w:szCs w:val="24"/>
          <w:lang w:val="hr-HR" w:eastAsia="zh-CN"/>
        </w:rPr>
        <w:t>Federalnom ministarstvu</w:t>
      </w:r>
      <w:r w:rsidRPr="008F43FD">
        <w:rPr>
          <w:rFonts w:ascii="Arial" w:eastAsia="Times New Roman" w:hAnsi="Arial" w:cs="Arial"/>
          <w:sz w:val="24"/>
          <w:szCs w:val="20"/>
          <w:lang w:val="hr-HR"/>
        </w:rPr>
        <w:t xml:space="preserve"> i jedan primjerak izabranoj komercijalnoj banci.</w:t>
      </w:r>
    </w:p>
    <w:p w:rsidR="006810DE" w:rsidRPr="008F43FD" w:rsidRDefault="006810DE" w:rsidP="006810DE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6810DE" w:rsidRPr="008F43FD" w:rsidRDefault="006810DE" w:rsidP="006810DE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/>
        </w:rPr>
      </w:pPr>
    </w:p>
    <w:tbl>
      <w:tblPr>
        <w:tblStyle w:val="TableGrid5"/>
        <w:tblW w:w="99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146"/>
        <w:gridCol w:w="4524"/>
        <w:gridCol w:w="208"/>
        <w:gridCol w:w="236"/>
      </w:tblGrid>
      <w:tr w:rsidR="006810DE" w:rsidRPr="008F43FD" w:rsidTr="00A03CD7">
        <w:tc>
          <w:tcPr>
            <w:tcW w:w="4111" w:type="dxa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>KLIJENT</w:t>
            </w:r>
          </w:p>
          <w:p w:rsidR="006810DE" w:rsidRPr="008F43FD" w:rsidRDefault="006810DE" w:rsidP="00A03CD7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</w:pPr>
          </w:p>
          <w:p w:rsidR="006810DE" w:rsidRPr="008F43FD" w:rsidRDefault="006810DE" w:rsidP="00A03CD7">
            <w:pPr>
              <w:jc w:val="center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Cs/>
                <w:sz w:val="24"/>
                <w:szCs w:val="24"/>
                <w:lang w:val="hr-HR" w:eastAsia="zh-CN"/>
              </w:rPr>
              <w:t xml:space="preserve"> </w:t>
            </w: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zh-CN"/>
              </w:rPr>
              <w:t>(Ime i prezime/naziv obrta/poduzeća/zadruge)</w:t>
            </w:r>
          </w:p>
        </w:tc>
        <w:tc>
          <w:tcPr>
            <w:tcW w:w="709" w:type="dxa"/>
          </w:tcPr>
          <w:p w:rsidR="006810DE" w:rsidRPr="008F43FD" w:rsidRDefault="006810DE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881" w:type="dxa"/>
            <w:gridSpan w:val="3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FEDERALNO MINISTARSTVO POLJOPRIVREDE, </w:t>
            </w:r>
          </w:p>
          <w:p w:rsidR="006810DE" w:rsidRPr="008F43FD" w:rsidRDefault="006810DE" w:rsidP="00A03CD7">
            <w:pPr>
              <w:rPr>
                <w:rFonts w:ascii="Arial" w:eastAsia="Times New Roman" w:hAnsi="Arial" w:cs="Arial"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 xml:space="preserve">VODOPRIVREDE I ŠUMARSTVA </w:t>
            </w:r>
          </w:p>
          <w:p w:rsidR="006810DE" w:rsidRPr="008F43FD" w:rsidRDefault="006810DE" w:rsidP="00A03CD7">
            <w:pPr>
              <w:rPr>
                <w:rFonts w:eastAsia="Times New Roman"/>
                <w:lang w:val="hr-HR"/>
              </w:rPr>
            </w:pPr>
          </w:p>
        </w:tc>
        <w:tc>
          <w:tcPr>
            <w:tcW w:w="236" w:type="dxa"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6810DE" w:rsidRPr="008F43FD" w:rsidTr="00A03CD7">
        <w:tc>
          <w:tcPr>
            <w:tcW w:w="4111" w:type="dxa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6810DE" w:rsidRPr="008F43FD" w:rsidRDefault="006810DE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</w:t>
            </w:r>
          </w:p>
        </w:tc>
        <w:tc>
          <w:tcPr>
            <w:tcW w:w="85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5" w:type="dxa"/>
            <w:gridSpan w:val="2"/>
            <w:hideMark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eastAsia="Times New Roman"/>
                <w:sz w:val="20"/>
                <w:szCs w:val="20"/>
                <w:lang w:val="hr-HR"/>
              </w:rPr>
              <w:t>_______________________________________</w:t>
            </w:r>
          </w:p>
        </w:tc>
        <w:tc>
          <w:tcPr>
            <w:tcW w:w="236" w:type="dxa"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6810DE" w:rsidRPr="008F43FD" w:rsidTr="00A03CD7">
        <w:tc>
          <w:tcPr>
            <w:tcW w:w="4111" w:type="dxa"/>
            <w:hideMark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(odgovorno lice klijenta/potpis i pečat)</w:t>
            </w:r>
          </w:p>
        </w:tc>
        <w:tc>
          <w:tcPr>
            <w:tcW w:w="85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4735" w:type="dxa"/>
            <w:gridSpan w:val="2"/>
            <w:hideMark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              (Ministar/potpis i pečat)</w:t>
            </w:r>
          </w:p>
        </w:tc>
        <w:tc>
          <w:tcPr>
            <w:tcW w:w="236" w:type="dxa"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6810DE" w:rsidRPr="008F43FD" w:rsidTr="00A03CD7">
        <w:tc>
          <w:tcPr>
            <w:tcW w:w="4111" w:type="dxa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85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236" w:type="dxa"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6810DE" w:rsidRPr="008F43FD" w:rsidTr="00A03CD7">
        <w:tc>
          <w:tcPr>
            <w:tcW w:w="4111" w:type="dxa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85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473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236" w:type="dxa"/>
          </w:tcPr>
          <w:p w:rsidR="006810DE" w:rsidRPr="008F43FD" w:rsidRDefault="006810DE" w:rsidP="00A03CD7">
            <w:pPr>
              <w:rPr>
                <w:rFonts w:eastAsia="Times New Roman"/>
                <w:lang w:val="hr-HR"/>
              </w:rPr>
            </w:pPr>
          </w:p>
        </w:tc>
      </w:tr>
      <w:tr w:rsidR="006810DE" w:rsidRPr="008F43FD" w:rsidTr="00A03CD7">
        <w:tc>
          <w:tcPr>
            <w:tcW w:w="4111" w:type="dxa"/>
            <w:hideMark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855" w:type="dxa"/>
            <w:gridSpan w:val="2"/>
          </w:tcPr>
          <w:p w:rsidR="006810DE" w:rsidRPr="008F43FD" w:rsidRDefault="006810DE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735" w:type="dxa"/>
            <w:gridSpan w:val="2"/>
            <w:hideMark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Datum: ___________</w:t>
            </w:r>
          </w:p>
        </w:tc>
        <w:tc>
          <w:tcPr>
            <w:tcW w:w="236" w:type="dxa"/>
          </w:tcPr>
          <w:p w:rsidR="006810DE" w:rsidRPr="008F43FD" w:rsidRDefault="006810DE" w:rsidP="00A03CD7">
            <w:pPr>
              <w:rPr>
                <w:rFonts w:eastAsia="Times New Roman"/>
                <w:sz w:val="20"/>
                <w:szCs w:val="20"/>
                <w:lang w:val="hr-HR"/>
              </w:rPr>
            </w:pPr>
          </w:p>
        </w:tc>
      </w:tr>
      <w:tr w:rsidR="006810DE" w:rsidRPr="008F43FD" w:rsidTr="00A03CD7">
        <w:trPr>
          <w:gridAfter w:val="2"/>
          <w:wAfter w:w="444" w:type="dxa"/>
        </w:trPr>
        <w:tc>
          <w:tcPr>
            <w:tcW w:w="9493" w:type="dxa"/>
            <w:gridSpan w:val="4"/>
          </w:tcPr>
          <w:p w:rsidR="006810DE" w:rsidRPr="008F43FD" w:rsidRDefault="006810DE" w:rsidP="00A03CD7">
            <w:pPr>
              <w:jc w:val="both"/>
              <w:rPr>
                <w:rFonts w:ascii="Arial" w:eastAsia="SimSun" w:hAnsi="Arial" w:cs="Arial"/>
                <w:sz w:val="20"/>
                <w:szCs w:val="20"/>
                <w:lang w:val="hr-HR" w:eastAsia="zh-CN"/>
              </w:rPr>
            </w:pPr>
          </w:p>
        </w:tc>
      </w:tr>
    </w:tbl>
    <w:p w:rsidR="00E67CF3" w:rsidRPr="006810DE" w:rsidRDefault="00E67CF3">
      <w:pPr>
        <w:rPr>
          <w:rFonts w:ascii="Arial" w:eastAsia="Times New Roman" w:hAnsi="Arial" w:cs="Arial"/>
          <w:sz w:val="24"/>
          <w:szCs w:val="24"/>
          <w:lang w:val="hr-HR" w:eastAsia="hr-HR"/>
        </w:rPr>
      </w:pPr>
    </w:p>
    <w:sectPr w:rsidR="00E67CF3" w:rsidRPr="0068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0FF5"/>
    <w:multiLevelType w:val="hybridMultilevel"/>
    <w:tmpl w:val="ECA4166C"/>
    <w:lvl w:ilvl="0" w:tplc="F6BC3E1C">
      <w:start w:val="1"/>
      <w:numFmt w:val="decimal"/>
      <w:lvlText w:val="Član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-3381" w:hanging="360"/>
      </w:pPr>
    </w:lvl>
    <w:lvl w:ilvl="2" w:tplc="141A001B">
      <w:start w:val="1"/>
      <w:numFmt w:val="lowerRoman"/>
      <w:lvlText w:val="%3."/>
      <w:lvlJc w:val="right"/>
      <w:pPr>
        <w:ind w:left="-2661" w:hanging="180"/>
      </w:pPr>
    </w:lvl>
    <w:lvl w:ilvl="3" w:tplc="141A000F">
      <w:start w:val="1"/>
      <w:numFmt w:val="decimal"/>
      <w:lvlText w:val="%4."/>
      <w:lvlJc w:val="left"/>
      <w:pPr>
        <w:ind w:left="-1941" w:hanging="360"/>
      </w:pPr>
    </w:lvl>
    <w:lvl w:ilvl="4" w:tplc="141A0019">
      <w:start w:val="1"/>
      <w:numFmt w:val="lowerLetter"/>
      <w:lvlText w:val="%5."/>
      <w:lvlJc w:val="left"/>
      <w:pPr>
        <w:ind w:left="-1221" w:hanging="360"/>
      </w:pPr>
    </w:lvl>
    <w:lvl w:ilvl="5" w:tplc="141A001B">
      <w:start w:val="1"/>
      <w:numFmt w:val="lowerRoman"/>
      <w:lvlText w:val="%6."/>
      <w:lvlJc w:val="right"/>
      <w:pPr>
        <w:ind w:left="-501" w:hanging="180"/>
      </w:pPr>
    </w:lvl>
    <w:lvl w:ilvl="6" w:tplc="141A000F">
      <w:start w:val="1"/>
      <w:numFmt w:val="decimal"/>
      <w:lvlText w:val="%7."/>
      <w:lvlJc w:val="left"/>
      <w:pPr>
        <w:ind w:left="219" w:hanging="360"/>
      </w:pPr>
    </w:lvl>
    <w:lvl w:ilvl="7" w:tplc="141A0019">
      <w:start w:val="1"/>
      <w:numFmt w:val="lowerLetter"/>
      <w:lvlText w:val="%8."/>
      <w:lvlJc w:val="left"/>
      <w:pPr>
        <w:ind w:left="939" w:hanging="360"/>
      </w:pPr>
    </w:lvl>
    <w:lvl w:ilvl="8" w:tplc="141A001B">
      <w:start w:val="1"/>
      <w:numFmt w:val="lowerRoman"/>
      <w:lvlText w:val="%9."/>
      <w:lvlJc w:val="right"/>
      <w:pPr>
        <w:ind w:left="1659" w:hanging="180"/>
      </w:pPr>
    </w:lvl>
  </w:abstractNum>
  <w:abstractNum w:abstractNumId="1" w15:restartNumberingAfterBreak="0">
    <w:nsid w:val="14455A95"/>
    <w:multiLevelType w:val="hybridMultilevel"/>
    <w:tmpl w:val="F54AB0F0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54042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4991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1"/>
    <w:rsid w:val="00182953"/>
    <w:rsid w:val="00206506"/>
    <w:rsid w:val="00252F6B"/>
    <w:rsid w:val="002F3B51"/>
    <w:rsid w:val="00413E7E"/>
    <w:rsid w:val="0045747D"/>
    <w:rsid w:val="004E2EBC"/>
    <w:rsid w:val="005E1AF1"/>
    <w:rsid w:val="006810DE"/>
    <w:rsid w:val="007119EA"/>
    <w:rsid w:val="00A54D4E"/>
    <w:rsid w:val="00AF57E6"/>
    <w:rsid w:val="00B543BF"/>
    <w:rsid w:val="00BC4F8F"/>
    <w:rsid w:val="00C348A1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423C"/>
  <w15:chartTrackingRefBased/>
  <w15:docId w15:val="{6082C834-D8BE-462B-99AC-BE0769F9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DE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uiPriority w:val="39"/>
    <w:rsid w:val="006810DE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2026-05-19T08:18:00Z</dcterms:created>
  <dcterms:modified xsi:type="dcterms:W3CDTF">2026-05-19T08:19:00Z</dcterms:modified>
</cp:coreProperties>
</file>