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720"/>
        <w:gridCol w:w="1293"/>
        <w:gridCol w:w="777"/>
        <w:gridCol w:w="62"/>
        <w:gridCol w:w="510"/>
        <w:gridCol w:w="488"/>
        <w:gridCol w:w="51"/>
        <w:gridCol w:w="517"/>
        <w:gridCol w:w="66"/>
        <w:gridCol w:w="154"/>
        <w:gridCol w:w="261"/>
        <w:gridCol w:w="164"/>
        <w:gridCol w:w="276"/>
        <w:gridCol w:w="39"/>
        <w:gridCol w:w="22"/>
        <w:gridCol w:w="224"/>
        <w:gridCol w:w="46"/>
        <w:gridCol w:w="191"/>
        <w:gridCol w:w="184"/>
        <w:gridCol w:w="300"/>
        <w:gridCol w:w="401"/>
        <w:gridCol w:w="81"/>
        <w:gridCol w:w="10"/>
        <w:gridCol w:w="183"/>
        <w:gridCol w:w="291"/>
        <w:gridCol w:w="135"/>
        <w:gridCol w:w="348"/>
        <w:gridCol w:w="36"/>
        <w:gridCol w:w="317"/>
        <w:gridCol w:w="69"/>
        <w:gridCol w:w="62"/>
        <w:gridCol w:w="480"/>
        <w:gridCol w:w="89"/>
        <w:gridCol w:w="390"/>
        <w:gridCol w:w="311"/>
        <w:gridCol w:w="175"/>
        <w:gridCol w:w="583"/>
      </w:tblGrid>
      <w:tr w:rsidR="005220BD" w:rsidRPr="008F43FD" w:rsidTr="00A03CD7">
        <w:trPr>
          <w:gridAfter w:val="1"/>
          <w:wAfter w:w="583" w:type="dxa"/>
          <w:trHeight w:val="1337"/>
        </w:trPr>
        <w:tc>
          <w:tcPr>
            <w:tcW w:w="38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127DF931" wp14:editId="05CD8753">
                  <wp:extent cx="628650" cy="714375"/>
                  <wp:effectExtent l="0" t="0" r="0" b="9525"/>
                  <wp:docPr id="23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07" w:type="dxa"/>
            <w:gridSpan w:val="6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10306" w:type="dxa"/>
            <w:gridSpan w:val="37"/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1030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ZZP-GPI</w:t>
            </w:r>
            <w:proofErr w:type="spellEnd"/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VII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građevinske objekte i opremu </w:t>
            </w: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za prehrambenu industriju</w:t>
            </w: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220BD" w:rsidRPr="008F43FD" w:rsidTr="005220BD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PROJEKTU 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5220BD" w:rsidRPr="008F43FD" w:rsidTr="005220BD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PROJEKTU</w:t>
            </w: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1-a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Naziv ulaganja: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1-b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Ciljevi ulaganja (zaokružiti):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a) proširenje proizvodnih kapaciteta zgrada i opreme,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b) uvođenje novih tehnologija,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c) uvođenje novih proizvoda,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d) poboljšanje standarda kvalitete proizvoda,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e) zaštita okoliša</w:t>
            </w: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1-c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Opis lokacije ulaganja i ciljna tržišta: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1-d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Način distribucije proizvoda: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1-e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Broj stalno uposlenih prije i nakon završetka ulaganja: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81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5220BD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društvo sa neograničenom solidarnom odgovornošću</w:t>
            </w:r>
          </w:p>
          <w:p w:rsidR="005220BD" w:rsidRPr="008F43FD" w:rsidRDefault="005220BD" w:rsidP="005220BD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komanditno društvo</w:t>
            </w:r>
          </w:p>
          <w:p w:rsidR="005220BD" w:rsidRPr="008F43FD" w:rsidRDefault="005220BD" w:rsidP="005220BD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dioničko društvo</w:t>
            </w:r>
          </w:p>
          <w:p w:rsidR="005220BD" w:rsidRPr="008F43FD" w:rsidRDefault="005220BD" w:rsidP="005220BD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društvo sa ograničenom odgovornošću</w:t>
            </w:r>
          </w:p>
          <w:p w:rsidR="005220BD" w:rsidRPr="008F43FD" w:rsidRDefault="005220BD" w:rsidP="005220BD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zadruga</w:t>
            </w:r>
          </w:p>
          <w:p w:rsidR="005220BD" w:rsidRPr="008F43FD" w:rsidRDefault="005220BD" w:rsidP="005220BD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</w:tc>
        <w:tc>
          <w:tcPr>
            <w:tcW w:w="2512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81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5220BD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5220BD" w:rsidRPr="008F43FD" w:rsidRDefault="005220BD" w:rsidP="005220BD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512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1.1.3.</w:t>
            </w:r>
          </w:p>
        </w:tc>
        <w:tc>
          <w:tcPr>
            <w:tcW w:w="318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2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586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DRUŠTVO I OBRT</w:t>
            </w: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1.2.1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društva/zadruge/obrta</w:t>
            </w:r>
          </w:p>
        </w:tc>
        <w:tc>
          <w:tcPr>
            <w:tcW w:w="64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) </w:t>
            </w:r>
            <w:r>
              <w:rPr>
                <w:rFonts w:ascii="Arial" w:eastAsia="Times New Roman" w:hAnsi="Arial" w:cs="Arial"/>
                <w:lang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društva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58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1.2.4</w:t>
            </w:r>
          </w:p>
        </w:tc>
        <w:tc>
          <w:tcPr>
            <w:tcW w:w="31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1.2.5</w:t>
            </w:r>
          </w:p>
        </w:tc>
        <w:tc>
          <w:tcPr>
            <w:tcW w:w="37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ulaganju koji utječu na dodjelu dodatne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potpore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1.3.1.1</w:t>
            </w:r>
          </w:p>
        </w:tc>
        <w:tc>
          <w:tcPr>
            <w:tcW w:w="4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Investicija uključuje izgradnju pogona za uklanjanje otpada nastalog kao rezultat proizvodnog procesa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5220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5220BD" w:rsidRPr="008F43FD" w:rsidRDefault="005220BD" w:rsidP="005220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86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1.3.1.2</w:t>
            </w:r>
          </w:p>
        </w:tc>
        <w:tc>
          <w:tcPr>
            <w:tcW w:w="4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Ulaganje je locirano na nadmorskoj visini iznad 600 metara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5220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5220BD" w:rsidRPr="008F43FD" w:rsidRDefault="005220BD" w:rsidP="005220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86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Podaci o vrijednos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 udjela domaćih sirovina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osnovne sirovine</w:t>
            </w: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8F43FD">
              <w:rPr>
                <w:rFonts w:ascii="Arial" w:hAnsi="Arial" w:cs="Arial"/>
                <w:lang w:eastAsia="hr-HR"/>
              </w:rPr>
              <w:t xml:space="preserve">Vrijednost domaće sirovine </w:t>
            </w: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8F43FD">
              <w:rPr>
                <w:rFonts w:ascii="Arial" w:hAnsi="Arial" w:cs="Arial"/>
                <w:lang w:eastAsia="hr-HR"/>
              </w:rPr>
              <w:t>u KM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8F43FD">
              <w:rPr>
                <w:rFonts w:ascii="Arial" w:hAnsi="Arial" w:cs="Arial"/>
                <w:lang w:eastAsia="hr-HR"/>
              </w:rPr>
              <w:t>Vrijednost uvozne sirovine</w:t>
            </w: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8F43FD">
              <w:rPr>
                <w:rFonts w:ascii="Arial" w:hAnsi="Arial" w:cs="Arial"/>
                <w:lang w:eastAsia="hr-HR"/>
              </w:rPr>
              <w:t>u KM</w:t>
            </w: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8F43FD">
              <w:rPr>
                <w:rFonts w:ascii="Arial" w:hAnsi="Arial" w:cs="Arial"/>
                <w:lang w:eastAsia="hr-HR"/>
              </w:rPr>
              <w:t>Udio %</w:t>
            </w: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>(vrijednost domaće : vrijednost uvozne sirovine) X 100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1.3.2.1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1.3.2.2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1.3.2.3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1.3.2.4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1.3.2.5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UKUPNO</w:t>
            </w: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9586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1.3.3.1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1.3.3.2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1.3.3.3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1.3.3.4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4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1.3.3.6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4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1.3.3.7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4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5220BD" w:rsidRPr="008F43FD" w:rsidRDefault="005220BD" w:rsidP="005220BD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5220BD" w:rsidRPr="008F43FD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5220BD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lastRenderedPageBreak/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pokretnu opremu, koja će biti smještena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ili mjesto obavljanja poljoprivredne djelatnosti (mjesto na kojem će se oprema koristiti)</w:t>
            </w:r>
          </w:p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**</w:t>
            </w: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nepokretnu opremu navesti lokaciju ugradnje </w:t>
            </w:r>
          </w:p>
        </w:tc>
      </w:tr>
      <w:tr w:rsidR="005220BD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5220BD" w:rsidRPr="008F43FD" w:rsidRDefault="005220BD" w:rsidP="005220BD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92"/>
        <w:gridCol w:w="422"/>
        <w:gridCol w:w="4817"/>
        <w:gridCol w:w="6"/>
        <w:gridCol w:w="2128"/>
        <w:gridCol w:w="2135"/>
      </w:tblGrid>
      <w:tr w:rsidR="005220BD" w:rsidRPr="008F43FD" w:rsidTr="00A03CD7">
        <w:trPr>
          <w:trHeight w:val="284"/>
        </w:trPr>
        <w:tc>
          <w:tcPr>
            <w:tcW w:w="10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220BD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2-2</w:t>
            </w:r>
          </w:p>
        </w:tc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VRSTA ULAGANJA </w:t>
            </w:r>
          </w:p>
        </w:tc>
      </w:tr>
      <w:tr w:rsidR="005220BD" w:rsidRPr="008F43FD" w:rsidTr="00A03CD7">
        <w:trPr>
          <w:trHeight w:val="344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(Unijeti iznos u valuti sa fakture)</w:t>
            </w:r>
          </w:p>
        </w:tc>
      </w:tr>
      <w:tr w:rsidR="005220BD" w:rsidRPr="008F43FD" w:rsidTr="00A03CD7">
        <w:trPr>
          <w:trHeight w:hRule="exact" w:val="344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5220BD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SEKTOR MLIJEKA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(4.1.1.)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bs-Latn-BA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(4.1.2.)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bs-Latn-BA"/>
              </w:rPr>
              <w:t xml:space="preserve">Oprema 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220BD" w:rsidRPr="008F43FD" w:rsidRDefault="005220BD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SEKTOR MESA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(4.2.1.)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(4.2.2.)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Oprema 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SEKTOR RIBARSTVA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(4.3.1.)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(4.3.2.)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Oprema 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SEKTOR PRERADE VOĆA, POVRĆA, MASLINA, ULJANOG SJEMENA I PLODOVA, RAZNOG ZRNJA, LJEKOVITOG, AROMATIČNOG I ZAČINSKOG BILJA I GLJIVA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(4.4.1.)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4.4.1.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4.4.1.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4.4.1.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(4.4.2.)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4.4.2.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4.4.2.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4.4.2.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SEKTOR VINARSTVA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(4.5.1.)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(4.5.2.)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Oprema 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SEKTOR MASLINOVOG ULJA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(4.6.1.)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(4.6.2.)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za preradu masline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(4.6.3.)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Oprema za </w:t>
            </w:r>
            <w:proofErr w:type="spellStart"/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kompostiranje</w:t>
            </w:r>
            <w:proofErr w:type="spellEnd"/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komine masline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4.6.3.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4.6.3.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4.6.3.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(4.7)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OSTALI SEKTORI PREHRAMBENE INDUSTRIJE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(4.7.1.)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4.7.1.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(4.7.2.)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Opremanje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PRIHVATLJIVI OPĆI TROŠKOVI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troškova transporta i montaže (ugradnje)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220BD" w:rsidRPr="008F43FD" w:rsidRDefault="005220B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rPr>
          <w:trHeight w:val="1170"/>
        </w:trPr>
        <w:tc>
          <w:tcPr>
            <w:tcW w:w="10500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pla</w:t>
            </w:r>
            <w:r>
              <w:rPr>
                <w:rFonts w:ascii="Arial" w:eastAsia="Times New Roman" w:hAnsi="Arial" w:cs="Arial"/>
                <w:lang w:eastAsia="hr-HR"/>
              </w:rPr>
              <w:t>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>veza.</w:t>
            </w:r>
          </w:p>
        </w:tc>
      </w:tr>
    </w:tbl>
    <w:p w:rsidR="005220BD" w:rsidRPr="008F43FD" w:rsidRDefault="005220BD" w:rsidP="00522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8"/>
        <w:gridCol w:w="2081"/>
        <w:gridCol w:w="4132"/>
      </w:tblGrid>
      <w:tr w:rsidR="005220BD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220BD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5220BD" w:rsidRPr="008F43FD" w:rsidRDefault="005220BD" w:rsidP="005220B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5220BD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5220BD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Građevinska dozvola, odobrenje za gradnju ili rješenje o legalizaciji,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odnosno potvrdu nadležnog općinskog tijela da građevinska dozvola za to ulaganje nije potrebna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ab/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Faktura i fiskalni račun vezane za prihvatljive troškove ulaganja u izgradnju, proširenje i opremanje građevinskih objekata, odnosno troškove transporta i ugradnje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</w:rPr>
              <w:t xml:space="preserve">Kopija katastarskog plana lokacije ulaganja (samo za klijente koji žele ostvariti pravo na dodatni iznos novčane </w:t>
            </w:r>
            <w:r>
              <w:rPr>
                <w:rFonts w:ascii="Arial" w:eastAsia="Times New Roman" w:hAnsi="Arial" w:cs="Arial"/>
              </w:rPr>
              <w:t>potpore</w:t>
            </w:r>
            <w:r w:rsidRPr="008F43FD">
              <w:rPr>
                <w:rFonts w:ascii="Arial" w:eastAsia="Times New Roman" w:hAnsi="Arial" w:cs="Arial"/>
              </w:rPr>
              <w:t xml:space="preserve"> za ulaganje locirano na nadmorskoj visini iznad 600 metara)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Specifikacija izvedenih građevinskih radova izraženih kvantitativno od strane izvođača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sukladno građevinskoj knjizi vođenoj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izgradnje (samo u slučaju izvođenja građevinskih radova)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deklaracija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>Dokument iz kojeg je vidljiva starost opreme ili fotografiju oznake godine proizvodnje (samo za polovnu opremu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Ovjerena izjava klijenta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bs-Latn-BA"/>
              </w:rPr>
            </w:pPr>
            <w:r w:rsidRPr="008F43FD">
              <w:rPr>
                <w:rFonts w:ascii="Arial" w:hAnsi="Arial" w:cs="Arial"/>
                <w:lang w:eastAsia="bs-Latn-BA"/>
              </w:rPr>
              <w:t>Specifikacija faktura dostavljenih u okviru zahtjeva (</w:t>
            </w:r>
            <w:proofErr w:type="spellStart"/>
            <w:r w:rsidRPr="008F43FD">
              <w:rPr>
                <w:rFonts w:ascii="Arial" w:hAnsi="Arial" w:cs="Arial"/>
                <w:lang w:eastAsia="bs-Latn-BA"/>
              </w:rPr>
              <w:t>SRZ</w:t>
            </w:r>
            <w:proofErr w:type="spellEnd"/>
            <w:r w:rsidRPr="008F43FD">
              <w:rPr>
                <w:rFonts w:ascii="Arial" w:hAnsi="Arial" w:cs="Arial"/>
                <w:lang w:eastAsia="bs-Latn-BA"/>
              </w:rPr>
              <w:t>) (</w:t>
            </w:r>
            <w:r w:rsidRPr="008F43FD">
              <w:rPr>
                <w:rFonts w:ascii="Arial" w:hAnsi="Arial" w:cs="Arial"/>
                <w:color w:val="000000"/>
                <w:sz w:val="24"/>
                <w:szCs w:val="24"/>
              </w:rPr>
              <w:t>samo u slučaju kada se u okviru zahtjeva nalazi više od pet faktura)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ab/>
              <w:t>Rješenje nadležnog organ</w:t>
            </w:r>
            <w:r>
              <w:rPr>
                <w:rFonts w:ascii="Arial" w:eastAsia="Times New Roman" w:hAnsi="Arial" w:cs="Arial"/>
                <w:lang w:eastAsia="bs-Latn-BA"/>
              </w:rPr>
              <w:t>a za poslove veterinarstva o usu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glašenosti izvedbenog projekta sa propisanim </w:t>
            </w:r>
            <w:r>
              <w:rPr>
                <w:rFonts w:ascii="Arial" w:eastAsia="Times New Roman" w:hAnsi="Arial" w:cs="Arial"/>
                <w:lang w:eastAsia="bs-Latn-BA"/>
              </w:rPr>
              <w:t>uvjet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ima za proizvodnju hrane životinjskog i mješovitog </w:t>
            </w:r>
            <w:r>
              <w:rPr>
                <w:rFonts w:ascii="Arial" w:eastAsia="Times New Roman" w:hAnsi="Arial" w:cs="Arial"/>
                <w:lang w:eastAsia="bs-Latn-BA"/>
              </w:rPr>
              <w:t>podrijetl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a, odnosno rješenje nadležnog organa o ispunjavanju tehničko-tehnoloških i kadrovskih </w:t>
            </w:r>
            <w:r>
              <w:rPr>
                <w:rFonts w:ascii="Arial" w:eastAsia="Times New Roman" w:hAnsi="Arial" w:cs="Arial"/>
                <w:lang w:eastAsia="bs-Latn-BA"/>
              </w:rPr>
              <w:t>uvjet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a za proizvodnju hrane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neživotinjskog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podrijetl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a ili zahtjev za izdavanje rješenja podnesen nadležnom organu o ispunjavanju tehničko-tehnoloških i kadrovskih </w:t>
            </w:r>
            <w:r>
              <w:rPr>
                <w:rFonts w:ascii="Arial" w:eastAsia="Times New Roman" w:hAnsi="Arial" w:cs="Arial"/>
                <w:lang w:eastAsia="bs-Latn-BA"/>
              </w:rPr>
              <w:t>uvjet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a za proizvodnju hrane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neživotinjskog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podrijetl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a, do dana podnošenja zahtjeva za novčanu </w:t>
            </w:r>
            <w:r>
              <w:rPr>
                <w:rFonts w:ascii="Arial" w:eastAsia="Times New Roman" w:hAnsi="Arial" w:cs="Arial"/>
                <w:lang w:eastAsia="bs-Latn-BA"/>
              </w:rPr>
              <w:t>potporu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Specifikaciju uz isplatu plata zaposlenika u radnom od</w:t>
            </w:r>
            <w:r>
              <w:rPr>
                <w:rFonts w:ascii="Arial" w:eastAsia="Times New Roman" w:hAnsi="Arial" w:cs="Arial"/>
                <w:lang w:eastAsia="bs-Latn-BA"/>
              </w:rPr>
              <w:t>nosu kod pravnih i fizičkih osoba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(obrazac 2001) koji se nalaze u stalnom radnom odnosu u vrijeme podnošenja zahtjeva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hAnsi="Arial" w:cs="Arial"/>
                <w:lang w:eastAsia="bs-Latn-BA"/>
              </w:rPr>
              <w:t xml:space="preserve">Izjavu klijenta o broju radnika </w:t>
            </w:r>
            <w:r w:rsidRPr="008F43FD">
              <w:rPr>
                <w:rFonts w:ascii="Arial" w:hAnsi="Arial" w:cs="Arial"/>
                <w:sz w:val="24"/>
                <w:szCs w:val="24"/>
              </w:rPr>
              <w:t>koji se nalaze u stalnom radnom odnosu u vrijeme podnošenja zahtjeva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Elektro energetska </w:t>
            </w:r>
            <w:r>
              <w:rPr>
                <w:rFonts w:ascii="Arial" w:eastAsia="Times New Roman" w:hAnsi="Arial" w:cs="Arial"/>
                <w:lang w:eastAsia="bs-Latn-BA"/>
              </w:rPr>
              <w:t>suglas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nost koja obuhvata pogon za obnovljive izvore energije (samo u slučaju ulaganja u pogon za proizvodnju električne energije iz obnovljivih izvora koji se povezuje na javnu elektro mrežu).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Zapisnik o primopredaji postrojenja prema projektu izvedenog stanja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ab/>
              <w:t>Potvrdu nadležne elektrodistribucije o količini utrošene električne energije u pogonu u prethodnoj godini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220B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0BD" w:rsidRPr="008F43FD" w:rsidRDefault="005220B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5220BD" w:rsidRPr="008F43FD" w:rsidRDefault="005220BD" w:rsidP="005220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5220BD" w:rsidRPr="008F43FD" w:rsidRDefault="005220BD" w:rsidP="005220B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originali ili propisno ovjerene kopije osim dokumenta pod 3.7.</w:t>
      </w:r>
    </w:p>
    <w:p w:rsidR="005220BD" w:rsidRPr="008F43FD" w:rsidRDefault="005220BD" w:rsidP="005220B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dokumentacije,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</w:p>
    <w:p w:rsidR="00785642" w:rsidRPr="005220BD" w:rsidRDefault="00785642" w:rsidP="005220BD">
      <w:bookmarkStart w:id="0" w:name="_GoBack"/>
      <w:bookmarkEnd w:id="0"/>
    </w:p>
    <w:sectPr w:rsidR="00785642" w:rsidRPr="005220BD" w:rsidSect="00C11D6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690"/>
    <w:multiLevelType w:val="hybridMultilevel"/>
    <w:tmpl w:val="F6163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13B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153F9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27668E"/>
    <w:multiLevelType w:val="hybridMultilevel"/>
    <w:tmpl w:val="6D3C0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7"/>
    <w:rsid w:val="000141D9"/>
    <w:rsid w:val="001333F1"/>
    <w:rsid w:val="00157A2D"/>
    <w:rsid w:val="001C1F99"/>
    <w:rsid w:val="00292DE9"/>
    <w:rsid w:val="0029732B"/>
    <w:rsid w:val="002B3A6D"/>
    <w:rsid w:val="003155F6"/>
    <w:rsid w:val="004D7995"/>
    <w:rsid w:val="005220BD"/>
    <w:rsid w:val="00665547"/>
    <w:rsid w:val="006B5654"/>
    <w:rsid w:val="00785642"/>
    <w:rsid w:val="008855DA"/>
    <w:rsid w:val="00C11D69"/>
    <w:rsid w:val="00CE70F4"/>
    <w:rsid w:val="00F17060"/>
    <w:rsid w:val="00F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4A4DD-091C-4FC8-9A26-CBA57CC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6655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4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F17060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2024-04-30T08:30:00Z</dcterms:created>
  <dcterms:modified xsi:type="dcterms:W3CDTF">2026-05-19T09:11:00Z</dcterms:modified>
</cp:coreProperties>
</file>